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 ПМЭФ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оценили перспективы международного сотрудничества в Арктике</w:t>
      </w: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Реализацию совместных арктических проектов в различных сферах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 xml:space="preserve">а также поддержание многостороннего взаимодействия обсудили участники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сессии «Международное сотрудничество как залог устойчивого развития Арктики» проекта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Think Arctic,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который реализуется в рамках программы председательства России в Арктическом совете в 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2021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2023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 гг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содействии Фонда Росконгресс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 Мероприятие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состоялось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на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XXV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Петербургском международном экономическом форуме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который проходит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15-18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июня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2022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года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cs="Times New Roman" w:hAnsi="Times New Roman" w:eastAsia="Times New Roman"/>
          <w14:textOutline>
            <w14:noFill/>
          </w14:textOutline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Арктика становится глобальным фактором мировой политики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заявил п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осол по особым поручениям МИД России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 xml:space="preserve">председатель Комитета старших должностных лиц 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Арктического совета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 xml:space="preserve"> Николай Корчуно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в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 xml:space="preserve">. 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Причинами этого преобразования являются изменение климата и роль Арктики в этом процессе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появление новых транспортных маршрутов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а также возрастающее экономическое значение арктического региона на фоне энергетического перехода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 xml:space="preserve">. 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Он сопровождается увеличением спроса на стратегические и критические материалы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которые есть в Арктике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«Я бы хотел использовать в качестве девиза нашего аналитического проекта «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>Think Arctic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 xml:space="preserve"> — </w:t>
      </w:r>
      <w:r>
        <w:rPr>
          <w:rFonts w:ascii="Times New Roman" w:hAnsi="Times New Roman"/>
          <w:rtl w:val="0"/>
          <w:lang w:val="en-US"/>
          <w14:textOutline>
            <w14:noFill/>
          </w14:textOutline>
        </w:rPr>
        <w:t>Think Global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»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— сказал он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 xml:space="preserve">. 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«Мы приветствуем формирование широкого международного партнерства с участием уважаемых зарубежных коллег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в том числе неарктических государств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в интересах устойчивого развития арктического региона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 xml:space="preserve">. 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Такого развития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который в себя гармонично включает три составляющих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 xml:space="preserve">: 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экологическое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социальное и экономическое»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— добавил дипломат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этом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контексте функционирования Арктического совета в свете решения других стран объединения частично возобновить проектную деятельность организации без участия России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Николай Корчунов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выразил уверенность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 сложившееся положение дел носит временный характер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«Мы надеемся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данный момент времени исходим из того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 ситуация разрешится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мы вернемся к полноформатному сотрудничеству»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— добавил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посол по особым поручениям МИД России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председатель Комитета старших должностных лиц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Арктического совета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Глубже России проблемы Арктики не понимает ни одна страна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заявил п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редседатель комитета Государственной Думы по экологии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природным ресурсам и охране окружающей среды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Дмитрий Кобылкин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«Арктика — это не коммунальная квартира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разъехаться не получится»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— отметил он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Кроме того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Дмитрий Кобылкин подчеркнул важность учета мнения проживающих в Арктике людей при освоении этого региона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«Очень важно сохранить традиционный уклад хозяйствования коренных народов Арктики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 учетом мудрости и знаний исконных жителей высоких широт необходимо формировать и все остальное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включая промышленность»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— подчеркнул п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редседатель комитета Государственной Думы по экологии</w:t>
      </w:r>
      <w:r>
        <w:rPr>
          <w:rFonts w:ascii="Times New Roman" w:hAnsi="Times New Roman"/>
          <w:rtl w:val="0"/>
          <w:lang w:val="ru-RU"/>
          <w14:textOutline>
            <w14:noFill/>
          </w14:textOutline>
        </w:rPr>
        <w:t xml:space="preserve">, </w:t>
      </w:r>
      <w:r>
        <w:rPr>
          <w:rFonts w:ascii="Times New Roman" w:hAnsi="Times New Roman" w:hint="default"/>
          <w:rtl w:val="0"/>
          <w:lang w:val="ru-RU"/>
          <w14:textOutline>
            <w14:noFill/>
          </w14:textOutline>
        </w:rPr>
        <w:t>природным ресурсам и охране окружающей среды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Президент Союза китайских предпринимателей России Чжоу Лицюнь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говоря о перспективах и текущем положении дел в российско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китайском сотрудничестве в Арктике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отметил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 особое значение Пекин придает Северному морскому пути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он является более быстрым и выгодным маршрутом доставки товаров из Азии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этом президент Союза китайских предпринимателей выразил уверенность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 потенциал арктического региона предпочтительнее реализовывать в условиях международного сотрудничества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не соперничества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свою очередь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ице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адмирал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офицер ВМС Индии в отставке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ывший комендант Национальной академии обороны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(NDA)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главнокомандующий Южного и Восточного командований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Сатиш Сони предложил развитие сотрудничества в сфере морского судоходства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частности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акватории Северного морского пути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Кроме того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 фоне изменения климата и высвобождения от льда новых территорий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пригодных для сельского хозяйства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он отметил большой опыт индийской стороны в этой сфере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Другими областями потенциального сотрудничества Москвы и Нью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Дели в Арктике являются борьба с выбросами диоксида углерода и строительство дорог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 словам исполнительного директора Арктического экономического совета Мадса Фредериксена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организации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которая представляет компании из арктического региона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свой интерес к сотрудничеству в Арктике выражают партнеры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том числе из Франции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Швейцарии и Греции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Он также пригласил к взаимодействию компании Индии и Китая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cs="Times New Roman" w:hAnsi="Times New Roman" w:eastAsia="Times New Roman"/>
          <w14:textOutline>
            <w14:noFill/>
          </w14:textOutline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«Арктический регион очень велик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большой его частью является Россия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так что сотрудничество нужно продолжать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Мы все испытываем одни и те же трудности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изменение климата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вопрос наличия рабочих мест для проживающих там людей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Многие компании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такие как «Новатэк»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продолжают работать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 них зависит большое количество рабочих мест в регионе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сложности есть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но нельзя прекращать работу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Это касается и компаний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сотрудничества в Арктике»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— сказал Фредериксен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cs="Times New Roman" w:hAnsi="Times New Roman" w:eastAsia="Times New Roman"/>
          <w14:textOutline>
            <w14:noFill/>
          </w14:textOutline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Сессия «Международное сотрудничество как залог устойчивого развития Арктики»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стала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четвертым мероприятием проекта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Think Arctic.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Он реализуется совместно Фондом Росконгресс и Центром комплексных европейских и международных исследований НИУ ВШЭ в рамках программы председательства России в Арктическом совете в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2021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В мероприятие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числе прочих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приняли участие д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иректор Арктическ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ого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и антарктическ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ого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научно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исследовательск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ого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институт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Александр Макаров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профессор Университета Осло Алла Позднякова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рофессор Университета Юго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Восточной Норвегии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Гленн Дизен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остдокторант Факультета мировой экономики и мировой политики НИУ ВШЭ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Капур Ниведита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ывший Чрезвычайный и Полномочный Посол Республики Индия в Российской Федерации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Д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Венкатеш Варма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Комплексная программа председательства России в Арктическом совете направлена на продвижение сотрудничества для повышения благосостояния и качества жизни населения Арктики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включая коренные народы Севера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его адаптации к последствиям изменения климата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сохранения арктического биоразнообразия и уникальных экосистем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обеспечения социально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экономического развития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поиска решений в области глобальной энергетической и транспортной безопасности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продвижения научного сотрудничества в высоких широтах и укреплению </w:t>
      </w:r>
      <w:r>
        <w:rPr>
          <w:rFonts w:ascii="Times New Roman" w:hAnsi="Times New Roman" w:hint="default"/>
          <w:rtl w:val="0"/>
          <w:lang w:val="ru-RU"/>
        </w:rPr>
        <w:t>арктического сотрудничеств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u w:val="single"/>
          <w:rtl w:val="0"/>
          <w:lang w:val="ru-RU"/>
        </w:rPr>
        <w:t>Справочная информация</w:t>
      </w: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  <w:lang w:val="ru-RU"/>
        </w:rPr>
        <w:t>:</w:t>
      </w:r>
    </w:p>
    <w:p>
      <w:pPr>
        <w:pStyle w:val="Normal (Web)"/>
        <w:shd w:val="clear" w:color="auto" w:fill="ffffff"/>
        <w:spacing w:after="0"/>
        <w:jc w:val="both"/>
        <w:rPr>
          <w:b w:val="1"/>
          <w:bCs w:val="1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sz w:val="20"/>
          <w:szCs w:val="2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Официальные аккаунты председательства России в Арктическом совете</w:t>
      </w:r>
      <w:r>
        <w:rPr>
          <w:b w:val="1"/>
          <w:bCs w:val="1"/>
          <w:outline w:val="0"/>
          <w:color w:val="222222"/>
          <w:sz w:val="20"/>
          <w:szCs w:val="2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:</w:t>
      </w:r>
    </w:p>
    <w:p>
      <w:pPr>
        <w:pStyle w:val="Normal (Web)"/>
        <w:shd w:val="clear" w:color="auto" w:fill="ffffff"/>
        <w:spacing w:before="0" w:after="0"/>
        <w:jc w:val="both"/>
        <w:rPr>
          <w:rStyle w:val="Нет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0"/>
          <w:szCs w:val="2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ВКонтакте</w:t>
      </w:r>
      <w:r>
        <w:rPr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: </w:t>
      </w:r>
      <w:r>
        <w:rPr>
          <w:rStyle w:val="Hyperlink.0"/>
          <w:outline w:val="0"/>
          <w:color w:val="0563c1"/>
          <w:sz w:val="20"/>
          <w:szCs w:val="20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outline w:val="0"/>
          <w:color w:val="0563c1"/>
          <w:sz w:val="20"/>
          <w:szCs w:val="20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"https://vk.com/arctic_on"</w:instrText>
      </w:r>
      <w:r>
        <w:rPr>
          <w:rStyle w:val="Hyperlink.0"/>
          <w:outline w:val="0"/>
          <w:color w:val="0563c1"/>
          <w:sz w:val="20"/>
          <w:szCs w:val="20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outline w:val="0"/>
          <w:color w:val="0563c1"/>
          <w:sz w:val="20"/>
          <w:szCs w:val="20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vk.com/arctic_on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0" w:after="0"/>
        <w:jc w:val="both"/>
        <w:rPr>
          <w:rStyle w:val="Нет"/>
          <w:outline w:val="0"/>
          <w:color w:val="222222"/>
          <w:sz w:val="20"/>
          <w:szCs w:val="20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Style w:val="Нет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Twitter: </w:t>
      </w:r>
      <w:r>
        <w:rPr>
          <w:rStyle w:val="Hyperlink.0"/>
          <w:outline w:val="0"/>
          <w:color w:val="0563c1"/>
          <w:sz w:val="20"/>
          <w:szCs w:val="20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outline w:val="0"/>
          <w:color w:val="0563c1"/>
          <w:sz w:val="20"/>
          <w:szCs w:val="20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"https://twitter.com/ArcticON1"</w:instrText>
      </w:r>
      <w:r>
        <w:rPr>
          <w:rStyle w:val="Hyperlink.0"/>
          <w:outline w:val="0"/>
          <w:color w:val="0563c1"/>
          <w:sz w:val="20"/>
          <w:szCs w:val="20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outline w:val="0"/>
          <w:color w:val="0563c1"/>
          <w:sz w:val="20"/>
          <w:szCs w:val="20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twitter.com/ArcticON1</w:t>
      </w:r>
      <w:r>
        <w:rPr>
          <w:lang w:val="en-US"/>
        </w:rPr>
        <w:fldChar w:fldCharType="end" w:fldLock="0"/>
      </w:r>
    </w:p>
    <w:p>
      <w:pPr>
        <w:pStyle w:val="Normal (Web)"/>
        <w:shd w:val="clear" w:color="auto" w:fill="ffffff"/>
        <w:spacing w:before="0" w:after="0"/>
        <w:jc w:val="both"/>
        <w:rPr>
          <w:rStyle w:val="Нет"/>
          <w:outline w:val="0"/>
          <w:color w:val="222222"/>
          <w:sz w:val="20"/>
          <w:szCs w:val="20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Style w:val="Нет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Telegram: </w:t>
      </w:r>
      <w:r>
        <w:rPr>
          <w:rStyle w:val="Hyperlink.0"/>
          <w:outline w:val="0"/>
          <w:color w:val="0563c1"/>
          <w:sz w:val="20"/>
          <w:szCs w:val="20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outline w:val="0"/>
          <w:color w:val="0563c1"/>
          <w:sz w:val="20"/>
          <w:szCs w:val="20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"https://t.me/arcticonofficial"</w:instrText>
      </w:r>
      <w:r>
        <w:rPr>
          <w:rStyle w:val="Hyperlink.0"/>
          <w:outline w:val="0"/>
          <w:color w:val="0563c1"/>
          <w:sz w:val="20"/>
          <w:szCs w:val="20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outline w:val="0"/>
          <w:color w:val="0563c1"/>
          <w:sz w:val="20"/>
          <w:szCs w:val="20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t.me/arcticonofficial</w:t>
      </w:r>
      <w:r>
        <w:rPr>
          <w:lang w:val="en-US"/>
        </w:rPr>
        <w:fldChar w:fldCharType="end" w:fldLock="0"/>
      </w:r>
    </w:p>
    <w:p>
      <w:pPr>
        <w:pStyle w:val="Normal (Web)"/>
        <w:shd w:val="clear" w:color="auto" w:fill="ffffff"/>
        <w:spacing w:before="0" w:after="0"/>
        <w:jc w:val="both"/>
        <w:rPr>
          <w:rStyle w:val="Нет"/>
          <w:outline w:val="0"/>
          <w:color w:val="222222"/>
          <w:sz w:val="20"/>
          <w:szCs w:val="20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Style w:val="Нет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Weibo:</w:t>
      </w:r>
      <w:r>
        <w:rPr>
          <w:rStyle w:val="Нет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Style w:val="Hyperlink.1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"https://weibo.com/u/7728847725"</w:instrText>
      </w:r>
      <w:r>
        <w:rPr>
          <w:rStyle w:val="Hyperlink.1"/>
          <w:outline w:val="0"/>
          <w:color w:val="1155cc"/>
          <w:sz w:val="20"/>
          <w:szCs w:val="20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outline w:val="0"/>
          <w:color w:val="1155cc"/>
          <w:sz w:val="20"/>
          <w:szCs w:val="20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weibo.com/u/7728847725</w:t>
      </w:r>
      <w:r>
        <w:rPr>
          <w:lang w:val="en-US"/>
        </w:rPr>
        <w:fldChar w:fldCharType="end" w:fldLock="0"/>
      </w:r>
    </w:p>
    <w:p>
      <w:pPr>
        <w:pStyle w:val="Normal (Web)"/>
        <w:shd w:val="clear" w:color="auto" w:fill="ffffff"/>
        <w:spacing w:before="0" w:after="0"/>
        <w:jc w:val="both"/>
        <w:rPr>
          <w:rStyle w:val="Нет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Нет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WeChat</w:t>
      </w:r>
      <w:r>
        <w:rPr>
          <w:rStyle w:val="Нет"/>
          <w:outline w:val="0"/>
          <w:color w:val="222222"/>
          <w:sz w:val="20"/>
          <w:szCs w:val="2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Нет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ID</w:t>
      </w:r>
      <w:r>
        <w:rPr>
          <w:rStyle w:val="Нет"/>
          <w:outline w:val="0"/>
          <w:color w:val="222222"/>
          <w:sz w:val="20"/>
          <w:szCs w:val="2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: </w:t>
      </w:r>
      <w:r>
        <w:rPr>
          <w:rStyle w:val="Нет"/>
          <w:outline w:val="0"/>
          <w:color w:val="222222"/>
          <w:sz w:val="20"/>
          <w:szCs w:val="2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arcticonofficial</w:t>
      </w:r>
    </w:p>
    <w:p>
      <w:pPr>
        <w:pStyle w:val="Normal.0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ind w:firstLine="426"/>
        <w:jc w:val="both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bookmarkStart w:name="_Hlk37175453" w:id="0"/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Ф</w:t>
      </w:r>
      <w:bookmarkEnd w:id="0"/>
      <w:bookmarkStart w:name="_Hlk37145538" w:id="1"/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онд Росконгресс –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социально ориентированный нефинансовый институт развития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крупнейший организатор общероссийских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международных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конгрессных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выставочных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деловых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общественных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молодежных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спортивных мероприятий и событий в области культуры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создан</w:t>
      </w:r>
      <w:r>
        <w:rPr>
          <w:rStyle w:val="Нет"/>
          <w:rFonts w:ascii="Times New Roman" w:hAnsi="Times New Roman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соответствии с решением Президента Российской Федерации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ind w:firstLine="426"/>
        <w:jc w:val="both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Фонд учрежден 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году с целью содействия развитию экономического потенциала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продвижения национальных интересов и укрепления имиджа России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Фонд всесторонне изучает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анализирует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формирует и освещает вопросы российской и глобальной экономической повестки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Обеспечивает администрирование и содействует продвижению бизнес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проектов и привлечению инвестиций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способствует развитию социального предпринимательства и благотворительных проектов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 </w:t>
      </w:r>
    </w:p>
    <w:p>
      <w:pPr>
        <w:pStyle w:val="Normal.0"/>
        <w:ind w:firstLine="425"/>
        <w:jc w:val="both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Мероприятия Фонда собирают участников из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208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стран и территорий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более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тысяч представителей СМИ ежегодно работают на площадках Росконгресса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аналитическую и экспертную работу вовлечены более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5000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экспертов в России и за рубежом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ind w:firstLine="425"/>
        <w:jc w:val="both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Фонд взаимодействует со структурами ООН и другими международными организациями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Развивает многоформатное сотрудничество со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166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внешнеэкономическими партнерами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объединениями промышленников и предпринимателей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финансовыми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торговыми и бизнес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ассоциациями 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76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странах мира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154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российскими общественными организациями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федеральными органами исполнительной и законодательной власти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субъектами Российской Федерации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Plain Text"/>
        <w:ind w:firstLine="426"/>
        <w:jc w:val="both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Официальные телеграм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каналы Фонда Росконгресс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 русском языке – </w:t>
      </w:r>
      <w:r>
        <w:rPr>
          <w:rStyle w:val="Нет"/>
          <w:rFonts w:ascii="Times New Roman" w:hAnsi="Times New Roman"/>
          <w:outline w:val="0"/>
          <w:color w:val="0563c1"/>
          <w:sz w:val="20"/>
          <w:szCs w:val="20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t.me/Roscongress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 английском языке – </w:t>
      </w:r>
      <w:r>
        <w:rPr>
          <w:rStyle w:val="Нет"/>
          <w:rFonts w:ascii="Times New Roman" w:hAnsi="Times New Roman"/>
          <w:outline w:val="0"/>
          <w:color w:val="0563c1"/>
          <w:sz w:val="20"/>
          <w:szCs w:val="20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t.me/RoscongressDirect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 испанском языке – </w:t>
      </w:r>
      <w:r>
        <w:rPr>
          <w:rStyle w:val="Нет"/>
          <w:rFonts w:ascii="Times New Roman" w:hAnsi="Times New Roman"/>
          <w:outline w:val="0"/>
          <w:color w:val="0563c1"/>
          <w:sz w:val="20"/>
          <w:szCs w:val="20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t.me/RoscongressEsp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ind w:firstLine="426"/>
        <w:jc w:val="both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Официальный сайт и Информационно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аналитическая система Фонда Росконгресс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bookmarkEnd w:id="1"/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"http://roscongress.org"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roscongress.org</w:t>
      </w:r>
      <w:r>
        <w:rPr/>
        <w:fldChar w:fldCharType="end" w:fldLock="0"/>
      </w:r>
      <w:r>
        <w:rPr>
          <w:rStyle w:val="Hyperlink.2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985" w:right="851" w:bottom="1134" w:left="851" w:header="284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536573</wp:posOffset>
          </wp:positionH>
          <wp:positionV relativeFrom="page">
            <wp:posOffset>46069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563c1"/>
      <w:sz w:val="20"/>
      <w:szCs w:val="20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1">
    <w:name w:val="Hyperlink.1"/>
    <w:basedOn w:val="Нет"/>
    <w:next w:val="Hyperlink.1"/>
    <w:rPr>
      <w:outline w:val="0"/>
      <w:color w:val="1155cc"/>
      <w:sz w:val="20"/>
      <w:szCs w:val="20"/>
      <w:u w:val="single" w:color="1155cc"/>
      <w:lang w:val="en-US"/>
      <w14:textFill>
        <w14:solidFill>
          <w14:srgbClr w14:val="1155CC"/>
        </w14:solidFill>
      </w14:textFill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outline w:val="0"/>
      <w:color w:val="0563c1"/>
      <w:sz w:val="20"/>
      <w:szCs w:val="20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