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E1F6" w14:textId="77777777" w:rsidR="005D4622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Арктической недели туризма в Норильске </w:t>
      </w:r>
    </w:p>
    <w:p w14:paraId="73B94FF0" w14:textId="77777777" w:rsidR="005D4622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включает более десяти деловых мероприятий </w:t>
      </w:r>
    </w:p>
    <w:p w14:paraId="273CA585" w14:textId="77777777" w:rsidR="005D4622" w:rsidRDefault="005D4622">
      <w:pPr>
        <w:pStyle w:val="a6"/>
        <w:jc w:val="both"/>
        <w:rPr>
          <w:rFonts w:ascii="Times New Roman" w:eastAsia="Times New Roman" w:hAnsi="Times New Roman" w:cs="Times New Roman"/>
        </w:rPr>
      </w:pPr>
    </w:p>
    <w:p w14:paraId="0303063E" w14:textId="152F4A0C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Деловая программа Межрегионального форума «Арктическая неделя туризма» включает 12 деловых сессий и дискуссий, посвященных успешным кейсам создания турпродукта в Арктике, мастер-планированию, мерам поддержки предпринимателей в этой сфере, а также другим темам устойчивого развития индустрии путешествий в регионах Крайнего Севера. Форум пройдет 9–13 апреля в Норильске в рамках председательства России в Арктическом совете в </w:t>
      </w:r>
      <w:r w:rsidRPr="005C5097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–2023 гг. Организаторы — Министерство Российской Федерации по развитию Дальнего Востока и Арктики, Администрация города Норильска. Оператор мероприятий председательства — Фонд Росконгресс. </w:t>
      </w:r>
    </w:p>
    <w:p w14:paraId="26132628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Ключевым событием деловой программы станет пленарная сессия, в рамках которой состоится обсуждение основных точек притяжения для иностранных туристов в российской Арктике, принципов устойчивого развития туризма в северных широтах, а также перспективного влияния развития индустрии гостеприимства на регионы Арктической зоны России. </w:t>
      </w:r>
    </w:p>
    <w:p w14:paraId="47AB97C3" w14:textId="77777777" w:rsidR="005D4622" w:rsidRDefault="00000000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Программа также включает круглый стол «Бизнес в Арктике: путеводитель по мерам поддержки для предпринимателей в туризме», в ходе которого эксперты обсудят влияние преференциальных режимов АЗРФ на инвестиционную активность в Арктике, привлечение как крупных компаний, так и начинающих предпринимателей в сферу туризма, а также перспективные меры поддержки в этой сфере. Участие в круглом столе примут представители бизнеса — резиденты АЗРФ.</w:t>
      </w:r>
    </w:p>
    <w:p w14:paraId="1CE9EC68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Кроме того, эксперты обсудят растущий спрос на туристические активности Арктики: «охоту» за северным сиянием, катание на оленях и трекинг по нетронутым природным объектам Севера. Представители туристической индустрии расскажут, как открыть локации и целые регионы для туристов, поделятся лучшими практиками продвижения своих продуктов. Отдельно участники форума затронут проблематику преобразования городской и сельской инфраструктуры, создание комфортных условий для жизни и благоустройство, считающееся одним из важных условий развития туризма. </w:t>
      </w:r>
    </w:p>
    <w:p w14:paraId="551F2015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В ходе деловой программы Форума отраслевые специалисты обсудят и новые тренды в отечественном туризме: рассмотрят лучшие кейсы организации туров на промышленные объекты и, в частности, положительный эффект от них для компаний и юридические аспекты в этой сфере, а также изучат перспективы организации круизов в Арктику.</w:t>
      </w:r>
    </w:p>
    <w:p w14:paraId="261E985A" w14:textId="3768A725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Участие в деловой программе подтвердили представители всех арктических регионов Российской Федерации, от Мурманской области до Чукотки. В Норильск также прибудут участники из Москвы Санкт-Петербурга, Нижнего Новгорода, Екатеринбурга, Магнитогорска, Челябинска, Ханты-Мансийска, Новосибирска, Кемерово, Красноярска, Петропавловска-Камчатского. Среди них представители Министерства Российской Федерации по развитию Дальнего Востока и Арктики, Министерства экономического развития Российской Федерации, Министерства природных ресурсов Российской Федерации, региональных и муниципальных органов власти, а также специалисты российских компаний, ориентированных на индустрию гостеприимства: федеральные и региональные туроператоры, рестораторы и отельеры, урбанисты и специализированные IT-компании. В Арктической неделе туризма ожидается участие около 300 экспертов, будут задействованы свыше 30 организаций. Подробную программу Форума можно найти на сайте: norilskforum.ru.</w:t>
      </w:r>
    </w:p>
    <w:p w14:paraId="7EC77C8C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В преддверии Форума состоится выставка «В центре Таймыра». В ней примут участие представители сферы туризма на Таймыре, в том числе 16 туроператоров и экскурсионных бюро, девять мастеров сувенирной и гастрономической продукции, которые представят свои товары и услуги. Выставка будет работать с 3 по 9 апреля, и ожидается, что ее гостями станут около 5 тыс. человек. Организаторы выставки — Агентство развития Норильска при поддержке Администрации города Норильска, компании «Норникель» и спортивно-развлекательного комплекса «Арена-</w:t>
      </w:r>
      <w:r>
        <w:rPr>
          <w:rFonts w:ascii="Times New Roman" w:hAnsi="Times New Roman"/>
        </w:rPr>
        <w:lastRenderedPageBreak/>
        <w:t>Норильск». В дни работы выставки для местных жителей будут организованы бесплатные экскурсии по городу и норильским предприятиям, интерактивная программа, а также пройдут лекционные сессии. Узнать подробности можно на сайте</w:t>
      </w:r>
      <w:r>
        <w:rPr>
          <w:rFonts w:ascii="Times New Roman" w:hAnsi="Times New Roman"/>
          <w:lang w:val="pt-PT"/>
        </w:rPr>
        <w:t>: taimyr-expo.ru.</w:t>
      </w:r>
    </w:p>
    <w:p w14:paraId="46020E7B" w14:textId="77777777" w:rsidR="005D4622" w:rsidRDefault="00000000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Цикл деловых и культурных мероприятий посвящен одному из наиболее приоритетных и значимых направлений развития согласно Стратегии развития Арктической зоны Российской Федерации до 2035 года – туризму. Трансляция форума будет доступна на официальном сайте председательства России в Арктическом совете по ссылке: https://arctic-council-russia.ru/events/arkticheskiy-turizm/arkticheskaya-nedelya-turizma/</w:t>
      </w:r>
    </w:p>
    <w:p w14:paraId="57F255D4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hAnsi="Times New Roman"/>
        </w:rPr>
        <w:t xml:space="preserve">Россия является председательствующей страной в Арктическом совете в период </w:t>
      </w:r>
      <w:r w:rsidRPr="005C5097">
        <w:rPr>
          <w:rFonts w:ascii="Times New Roman" w:hAnsi="Times New Roman"/>
        </w:rPr>
        <w:t>2021</w:t>
      </w:r>
      <w:r>
        <w:rPr>
          <w:rFonts w:ascii="Times New Roman" w:hAnsi="Times New Roman"/>
        </w:rPr>
        <w:t>–2023 гг. Комплексная программа председательства России в Арктическом совете направлена на продвижение сотрудничества для повышения благосостояния и качества жизни населения Арктики, включая коренные народы Севера, его адаптации к последствиям изменения климата, сохранения арктического биоразнообразия и уникальных экосистем, обеспечения социально-экономического развития, поиска решений в области глобальной энергетической и транспортной безопасности, продвижения научного сотрудничества в высоких широтах и укреплению Арктического совета.</w:t>
      </w:r>
    </w:p>
    <w:p w14:paraId="06D39B5B" w14:textId="77777777" w:rsidR="005D4622" w:rsidRDefault="005D4622">
      <w:pPr>
        <w:pStyle w:val="a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EFBB6C4" w14:textId="77777777" w:rsidR="005D4622" w:rsidRDefault="00000000">
      <w:pPr>
        <w:pStyle w:val="a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199F6CB3" w14:textId="77777777" w:rsidR="005D4622" w:rsidRDefault="00000000">
      <w:pPr>
        <w:pStyle w:val="a7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1419CD4C" w14:textId="77777777" w:rsidR="005D4622" w:rsidRPr="005C5097" w:rsidRDefault="0000000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3CE58DEA" w14:textId="77777777" w:rsidR="005D4622" w:rsidRDefault="0000000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4D82116A" w14:textId="77777777" w:rsidR="005D4622" w:rsidRDefault="0000000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8"/>
          <w:color w:val="222222"/>
          <w:sz w:val="20"/>
          <w:szCs w:val="20"/>
          <w:u w:color="222222"/>
        </w:rPr>
        <w:t xml:space="preserve"> </w:t>
      </w:r>
      <w:r>
        <w:rPr>
          <w:rStyle w:val="a8"/>
          <w:color w:val="222222"/>
          <w:sz w:val="20"/>
          <w:szCs w:val="20"/>
          <w:u w:color="222222"/>
          <w:lang w:val="en-US"/>
        </w:rPr>
        <w:t>ID</w:t>
      </w:r>
      <w:r>
        <w:rPr>
          <w:rStyle w:val="a8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8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11E2ED52" w14:textId="77777777" w:rsidR="005D4622" w:rsidRDefault="00000000">
      <w:pPr>
        <w:pStyle w:val="a6"/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8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49B72626" w14:textId="77777777" w:rsidR="005D4622" w:rsidRDefault="00000000">
      <w:pPr>
        <w:pStyle w:val="a6"/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123F64F6" w14:textId="77777777" w:rsidR="005D4622" w:rsidRDefault="00000000">
      <w:pPr>
        <w:pStyle w:val="a6"/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2510ED16" w14:textId="77777777" w:rsidR="005D4622" w:rsidRDefault="00000000">
      <w:pPr>
        <w:pStyle w:val="a6"/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56435EB" w14:textId="77777777" w:rsidR="005D4622" w:rsidRDefault="00000000">
      <w:pPr>
        <w:pStyle w:val="a6"/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t.me/Roscongress</w:t>
      </w:r>
      <w:r>
        <w:rPr>
          <w:rStyle w:val="a8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  <w:lang w:val="pt-PT"/>
        </w:rPr>
        <w:t>t.me/RoscongressDirect</w:t>
      </w:r>
      <w:r>
        <w:rPr>
          <w:rStyle w:val="a8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t.me/RoscongressEsp</w:t>
      </w:r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40753271" w14:textId="77777777" w:rsidR="005D4622" w:rsidRDefault="00000000">
      <w:pPr>
        <w:pStyle w:val="a9"/>
        <w:ind w:firstLine="426"/>
        <w:jc w:val="both"/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  <w:lang w:val="ru-RU"/>
          </w:rPr>
          <w:t>roscongress.org</w:t>
        </w:r>
      </w:hyperlink>
      <w:r>
        <w:rPr>
          <w:rStyle w:val="Hyperlink1"/>
          <w:lang w:val="ru-RU"/>
        </w:rPr>
        <w:t>.</w:t>
      </w:r>
    </w:p>
    <w:sectPr w:rsidR="005D4622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17B4" w14:textId="77777777" w:rsidR="005A1E5B" w:rsidRDefault="005A1E5B">
      <w:r>
        <w:separator/>
      </w:r>
    </w:p>
  </w:endnote>
  <w:endnote w:type="continuationSeparator" w:id="0">
    <w:p w14:paraId="4A7FDA73" w14:textId="77777777" w:rsidR="005A1E5B" w:rsidRDefault="005A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DD8" w14:textId="77777777" w:rsidR="005D4622" w:rsidRDefault="005D4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B56B" w14:textId="77777777" w:rsidR="005A1E5B" w:rsidRDefault="005A1E5B">
      <w:r>
        <w:separator/>
      </w:r>
    </w:p>
  </w:footnote>
  <w:footnote w:type="continuationSeparator" w:id="0">
    <w:p w14:paraId="3C037E7F" w14:textId="77777777" w:rsidR="005A1E5B" w:rsidRDefault="005A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F80" w14:textId="77777777" w:rsidR="005D4622" w:rsidRDefault="0000000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2CA9754" wp14:editId="211C3926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2C93328" wp14:editId="0BBC62E5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22"/>
    <w:rsid w:val="005A1E5B"/>
    <w:rsid w:val="005C5097"/>
    <w:rsid w:val="005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0253"/>
  <w15:docId w15:val="{1A6069DF-81AD-4335-9AEF-270F3FD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it-IT"/>
    </w:rPr>
  </w:style>
  <w:style w:type="paragraph" w:styleId="a9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Revision"/>
    <w:hidden/>
    <w:uiPriority w:val="99"/>
    <w:semiHidden/>
    <w:rsid w:val="005C50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2</cp:revision>
  <dcterms:created xsi:type="dcterms:W3CDTF">2023-03-30T09:33:00Z</dcterms:created>
  <dcterms:modified xsi:type="dcterms:W3CDTF">2023-03-30T09:34:00Z</dcterms:modified>
</cp:coreProperties>
</file>