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EE9B2" w14:textId="77777777" w:rsidR="00520163" w:rsidRDefault="00154B6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 экспедиции «Арктический плавучий университет — 2022: меняющаяся Арктика» провели изучение экосистем северных акваторий </w:t>
      </w:r>
    </w:p>
    <w:p w14:paraId="53682BCD" w14:textId="77777777" w:rsidR="00520163" w:rsidRDefault="005201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654504" w14:textId="77777777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Научно-образовательная экспедиция «Арктический плавучий университет — 2022: меняющаяся Арктика» прошла на исследовательском судне «Профессор Молчанов» с 24 июня по 11 июля в высокоширотной Арктике. Исследования проводились в рамках плана основных мероприятий председательства России в Арктическом совете в 2021-2023 гг., оператором которых выступает Фонд Росконгресс. </w:t>
      </w:r>
    </w:p>
    <w:p w14:paraId="6E1599B8" w14:textId="307CE2B4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«Проекту «Арктический плавучий университет: меняющаяся Арктика» исполнилось 10 лет. За это время в его рейсах приняли участие 675 человек из 53 университетов и научных институтов со всего мира. Все задачи, поставленные перед экспедицией в этом году, достигнуты. Нам удалось провести научные работы в удал</w:t>
      </w:r>
      <w:r w:rsidR="007A7EC8">
        <w:rPr>
          <w:rFonts w:ascii="Times New Roman" w:hAnsi="Times New Roman"/>
        </w:rPr>
        <w:t>е</w:t>
      </w:r>
      <w:r>
        <w:rPr>
          <w:rFonts w:ascii="Times New Roman" w:hAnsi="Times New Roman"/>
        </w:rPr>
        <w:t>нных районах архипелаг</w:t>
      </w:r>
      <w:r w:rsidR="007A7EC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Новая Земля и получить очень ценные данные по биоразнообразию, экологии, климату, историко-культурному наследию региона», — </w:t>
      </w:r>
      <w:r w:rsidR="007A7EC8">
        <w:rPr>
          <w:rFonts w:ascii="Times New Roman" w:hAnsi="Times New Roman"/>
        </w:rPr>
        <w:t>рас</w:t>
      </w:r>
      <w:r>
        <w:rPr>
          <w:rFonts w:ascii="Times New Roman" w:hAnsi="Times New Roman"/>
        </w:rPr>
        <w:t xml:space="preserve">сказал директор Института стратегического развития Арктики </w:t>
      </w:r>
      <w:r w:rsidR="007A7EC8">
        <w:rPr>
          <w:rFonts w:ascii="Times New Roman" w:hAnsi="Times New Roman"/>
        </w:rPr>
        <w:t>Северного (Арктического) федерального университета</w:t>
      </w:r>
      <w:r>
        <w:rPr>
          <w:rFonts w:ascii="Times New Roman" w:hAnsi="Times New Roman"/>
        </w:rPr>
        <w:t>, руководитель проекта Александр Сабуров. </w:t>
      </w:r>
    </w:p>
    <w:p w14:paraId="4DB71DEE" w14:textId="73E8FE2C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экспедиции приняли участие 55 человек из научных и научно-образовательных учреждений и организаций. Судно «Профессор Молчанов» прошло по маршруту Архангельск — океанографический разрез «мыс Желания — о. Сальм» — Русская гавань — Ледяная гавань — бухта Мурманца — мыс Желания — Большие Оранские острова — залив Иванова – п. Варнек (о. Вайгач) — океанографический разрез «Печ</w:t>
      </w:r>
      <w:r w:rsidR="007A7EC8">
        <w:rPr>
          <w:rFonts w:ascii="Times New Roman" w:hAnsi="Times New Roman"/>
        </w:rPr>
        <w:t>о</w:t>
      </w:r>
      <w:r>
        <w:rPr>
          <w:rFonts w:ascii="Times New Roman" w:hAnsi="Times New Roman"/>
        </w:rPr>
        <w:t>рское море» — Архангельск. Среди целей экспедиции — подготовка молодых кадров по актуальным для региона специальностям, развитие научно-образовательного сотрудничества в рамках экспедиционной деятельности в высокоширотной Арктике, а также вовлечение молодежи в научную и проектную деятельность.</w:t>
      </w:r>
    </w:p>
    <w:p w14:paraId="0504177E" w14:textId="77777777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Программа экспедиции основывалась на реализации концепции ЮНЕСКО «Обучение через исследование», которая предполагает сочетание теоретической подготовки с проведением научной работы под руководством ученых. Каждый этап исследований сопровождался образовательной компонентой: студенты слушали лекции ведущих ученых при подготовке к экспедиции, а также участвовали в мастер-классах, семинарах и практических занятиях на борту судна. Исследователи провели работу по семи направлениям, среди которых микробиология, историко-культурное наследие Арктики, адаптация человека к условиям высокоширотной Арктики и гидрометеорология.</w:t>
      </w:r>
    </w:p>
    <w:p w14:paraId="0906030F" w14:textId="2C208C6E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Кроме того, участники экспедиции провели разбор, подсчет и классификацию морского мусора по видам полимерной продукции, а также другим видам материалов. В ходе рейса студенты САФУ провели испытания специального робота, созданного для автоматизированного учета и сбора мусора, который скапливается на побережье. В свою очередь, сотрудники Объединенного института ядерных исследований исследовали атмосферные выпадения тяжелых металлов и радионуклидов.</w:t>
      </w:r>
    </w:p>
    <w:p w14:paraId="46B01876" w14:textId="77777777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Исследователи также провели поиск новых антибиотиков и разнообразных ферментов. В частности, в заливе Иванова сотруднику РУДН удалось получить представительный образец «цветного» снега, предположительно содержащий Chlamydomonas nivalis. Точная идентификация водорослей будет осуществлена в лаборатории кафедры микробиологии и вирусологии РУДН. По результатам обработки биоматериала планируется создание средства, обладающего антимикробным и антимикотическим действием или усиливающее чувствительность микроорганизмов к другим химиопрепаратам.</w:t>
      </w:r>
    </w:p>
    <w:p w14:paraId="6CA741AE" w14:textId="15969BDE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Развитие науки и технологий в Арктике является одним из приоритетных направлений «Стратегии развития Арктической зоны Российской Федерации и обеспечения национальной безопасности на период до 2035 года». В ходе научно-образовательной экспедиции ее участники получили новые знания, практические умения и навыки в сфере экосистем акваторий и прибрежных территорий архипелагов и островов территорий Западного сектора Арктической зоны России. Образовательная программа экспедиции была реализована по восьми модулям, среди которых </w:t>
      </w:r>
      <w:r>
        <w:rPr>
          <w:rFonts w:ascii="Times New Roman" w:hAnsi="Times New Roman"/>
        </w:rPr>
        <w:lastRenderedPageBreak/>
        <w:t xml:space="preserve">также экологический туризм в Арктике, </w:t>
      </w:r>
      <w:r w:rsidR="007A7EC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нтропология Арктики и </w:t>
      </w:r>
      <w:r w:rsidR="007A7EC8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стория изучения и освоения Арктики. Проект «Арктический плавучий университет» стартовал в 2012 году и  реализуется Северным (Арктическим) федеральным университетом имени М.В. Ломоносова (САФУ) совместно с Северным управлением по гидрометеорологии и мониторингу окружающей среды при поддержке </w:t>
      </w:r>
      <w:r w:rsidR="00DC7501">
        <w:rPr>
          <w:rFonts w:ascii="Times New Roman" w:hAnsi="Times New Roman"/>
        </w:rPr>
        <w:t>Министерства науки и высшего образования Росси</w:t>
      </w:r>
      <w:r w:rsidR="00893161">
        <w:rPr>
          <w:rFonts w:ascii="Times New Roman" w:hAnsi="Times New Roman"/>
        </w:rPr>
        <w:t>йской Федерации</w:t>
      </w:r>
      <w:bookmarkStart w:id="0" w:name="_GoBack"/>
      <w:bookmarkEnd w:id="0"/>
      <w:r w:rsidR="00DC7501">
        <w:rPr>
          <w:rFonts w:ascii="Times New Roman" w:hAnsi="Times New Roman"/>
        </w:rPr>
        <w:t>,</w:t>
      </w:r>
      <w:r w:rsidR="00893161">
        <w:rPr>
          <w:rFonts w:ascii="Times New Roman" w:hAnsi="Times New Roman"/>
        </w:rPr>
        <w:t xml:space="preserve"> Министерства Российской Федерации по развитию Дальнего Востока и Арктики,</w:t>
      </w:r>
      <w:r w:rsidR="00DC75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Русского географического общества, национального парка «Русская Арктика»</w:t>
      </w:r>
      <w:r w:rsidR="00DC7501">
        <w:rPr>
          <w:rFonts w:ascii="Times New Roman" w:hAnsi="Times New Roman"/>
        </w:rPr>
        <w:t>.</w:t>
      </w:r>
    </w:p>
    <w:p w14:paraId="678F8FBE" w14:textId="77777777" w:rsidR="00520163" w:rsidRDefault="00154B6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Сквозным приоритетом российского председательства в Арктическом совете в 2021-2023 годах является обеспечение ответственного управления в интересах устойчивого развития Арктики, сбалансированного в социальном, экономическом и природоохранном измерениях. Реализация программы председательства нацелена на повышение эффективности научной деятельности и практической применимости ее результатов в регионе, оптимизацию использования научной инфраструктуры, продвижение новых технологий и лучшей практики при реализации совместных проектов, а также наращивание подготовки специалистов для работы в высоких широтах, в том числе путем реализации концепции «Обучение через исследования».</w:t>
      </w:r>
    </w:p>
    <w:p w14:paraId="098A5CA5" w14:textId="77777777" w:rsidR="00520163" w:rsidRDefault="00520163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1C10D9A5" w14:textId="77777777" w:rsidR="00520163" w:rsidRDefault="00154B61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4D7A4F28" w14:textId="77777777" w:rsidR="00520163" w:rsidRDefault="00154B61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683B7E8E" w14:textId="77777777" w:rsidR="00520163" w:rsidRPr="007A7EC8" w:rsidRDefault="00154B6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4D73034C" w14:textId="77777777" w:rsidR="00520163" w:rsidRDefault="00154B6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50526229" w14:textId="77777777" w:rsidR="00520163" w:rsidRDefault="00154B6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t.me/arcticonofficial</w:t>
        </w:r>
      </w:hyperlink>
    </w:p>
    <w:p w14:paraId="038C99C9" w14:textId="77777777" w:rsidR="00520163" w:rsidRDefault="00154B6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43F47429" w14:textId="77777777" w:rsidR="00520163" w:rsidRDefault="00154B6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14:paraId="14190EF5" w14:textId="77777777" w:rsidR="00520163" w:rsidRDefault="00520163">
      <w:pPr>
        <w:rPr>
          <w:rStyle w:val="a7"/>
          <w:rFonts w:ascii="Times New Roman" w:eastAsia="Times New Roman" w:hAnsi="Times New Roman" w:cs="Times New Roman"/>
        </w:rPr>
      </w:pPr>
    </w:p>
    <w:p w14:paraId="205F7A1D" w14:textId="77777777" w:rsidR="00520163" w:rsidRDefault="00154B61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09DC6B5A" w14:textId="77777777" w:rsidR="00520163" w:rsidRDefault="00154B61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80F13BD" w14:textId="77777777" w:rsidR="00520163" w:rsidRDefault="00154B61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257534C5" w14:textId="77777777" w:rsidR="00520163" w:rsidRDefault="00154B61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173 внешнеэкономическими партнерами, объединениями промышленников и предпринимателей, финансовыми, торговыми и бизнес-ассоциациями в 78 странах мира, со 179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C762DC1" w14:textId="77777777" w:rsidR="00520163" w:rsidRDefault="00154B61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t.me/RoscongressDirect</w:t>
      </w:r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7"/>
          <w:rFonts w:ascii="Times New Roman" w:hAnsi="Times New Roman"/>
          <w:color w:val="0000FF"/>
          <w:sz w:val="20"/>
          <w:szCs w:val="20"/>
          <w:u w:val="single" w:color="0000FF"/>
        </w:rPr>
        <w:t>t.me/RoscongressEsp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7CC603D3" w14:textId="77777777" w:rsidR="00520163" w:rsidRDefault="00154B61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0" w:history="1">
        <w:r>
          <w:rPr>
            <w:rStyle w:val="Hyperlink2"/>
            <w:rFonts w:eastAsia="Arial Unicode MS"/>
          </w:rPr>
          <w:t>roscongress.org</w:t>
        </w:r>
      </w:hyperlink>
      <w:r>
        <w:rPr>
          <w:rStyle w:val="Hyperlink2"/>
          <w:rFonts w:eastAsia="Arial Unicode MS"/>
        </w:rPr>
        <w:t>.</w:t>
      </w:r>
    </w:p>
    <w:sectPr w:rsidR="00520163">
      <w:headerReference w:type="default" r:id="rId11"/>
      <w:footerReference w:type="default" r:id="rId12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723" w14:textId="77777777" w:rsidR="00D35DDC" w:rsidRDefault="00D35DDC">
      <w:r>
        <w:separator/>
      </w:r>
    </w:p>
  </w:endnote>
  <w:endnote w:type="continuationSeparator" w:id="0">
    <w:p w14:paraId="03362ACB" w14:textId="77777777" w:rsidR="00D35DDC" w:rsidRDefault="00D3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BCD9" w14:textId="77777777" w:rsidR="00520163" w:rsidRDefault="00520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0C4A" w14:textId="77777777" w:rsidR="00D35DDC" w:rsidRDefault="00D35DDC">
      <w:r>
        <w:separator/>
      </w:r>
    </w:p>
  </w:footnote>
  <w:footnote w:type="continuationSeparator" w:id="0">
    <w:p w14:paraId="5C18A019" w14:textId="77777777" w:rsidR="00D35DDC" w:rsidRDefault="00D3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1D6B" w14:textId="77777777" w:rsidR="00520163" w:rsidRDefault="00154B61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993161" wp14:editId="2C0821FE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F0CD940" wp14:editId="3AF74D22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63"/>
    <w:rsid w:val="00154B61"/>
    <w:rsid w:val="00520163"/>
    <w:rsid w:val="007A7EC8"/>
    <w:rsid w:val="00893161"/>
    <w:rsid w:val="00D35DDC"/>
    <w:rsid w:val="00D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71A7"/>
  <w15:docId w15:val="{AA905F0A-95D6-4DF1-B7B9-2CE3F6C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oscongres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3</cp:revision>
  <dcterms:created xsi:type="dcterms:W3CDTF">2022-07-13T08:06:00Z</dcterms:created>
  <dcterms:modified xsi:type="dcterms:W3CDTF">2022-07-13T14:02:00Z</dcterms:modified>
</cp:coreProperties>
</file>