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D839" w14:textId="77777777" w:rsidR="006B700C" w:rsidRDefault="004F66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Арктический культурный форум состоится 13–15 февраля в Салехарде</w:t>
      </w:r>
    </w:p>
    <w:p w14:paraId="7485D952" w14:textId="77777777" w:rsidR="006B700C" w:rsidRDefault="006B700C">
      <w:pPr>
        <w:jc w:val="both"/>
        <w:rPr>
          <w:rFonts w:ascii="Times New Roman" w:eastAsia="Times New Roman" w:hAnsi="Times New Roman" w:cs="Times New Roman"/>
        </w:rPr>
      </w:pPr>
    </w:p>
    <w:p w14:paraId="4DEF1E17" w14:textId="708E2143" w:rsidR="006B700C" w:rsidRDefault="004F669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Цифровое будущее библиотек, формирование привлекательного имиджа музеев, а также перспективы развития культурно-досуговых учреждений Арктики обсудят участники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Арктического культурного форума, который состоится 13–15 февраля в Салехарде в рамках председательства России в Арктическом совете в 2021–2023 гг. </w:t>
      </w:r>
    </w:p>
    <w:p w14:paraId="4840A287" w14:textId="7695FBF8" w:rsidR="00CA78A6" w:rsidRDefault="00CA78A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мероприятии примут участие </w:t>
      </w:r>
      <w:r>
        <w:rPr>
          <w:rFonts w:ascii="Times New Roman" w:hAnsi="Times New Roman"/>
        </w:rPr>
        <w:t>более 500 человек из 16 регионов России, среди них: представители</w:t>
      </w:r>
      <w:r w:rsidR="00573CF7">
        <w:rPr>
          <w:rFonts w:ascii="Times New Roman" w:hAnsi="Times New Roman"/>
        </w:rPr>
        <w:t xml:space="preserve"> федеральных и региональных </w:t>
      </w:r>
      <w:r>
        <w:rPr>
          <w:rFonts w:ascii="Times New Roman" w:hAnsi="Times New Roman"/>
        </w:rPr>
        <w:t>органов власти</w:t>
      </w:r>
      <w:r w:rsidR="00573CF7">
        <w:rPr>
          <w:rFonts w:ascii="Times New Roman" w:hAnsi="Times New Roman"/>
        </w:rPr>
        <w:t>, учреждений культуры,</w:t>
      </w:r>
      <w:r>
        <w:rPr>
          <w:rFonts w:ascii="Times New Roman" w:hAnsi="Times New Roman"/>
        </w:rPr>
        <w:t xml:space="preserve"> НКО, общественные деятели и предприниматели.</w:t>
      </w:r>
    </w:p>
    <w:p w14:paraId="69624992" w14:textId="208AE7BF" w:rsidR="006B700C" w:rsidRDefault="004F669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«Тематика форума чрезвычайно разнообразна</w:t>
      </w:r>
      <w:r>
        <w:rPr>
          <w:rFonts w:ascii="Times New Roman" w:hAnsi="Times New Roman"/>
        </w:rPr>
        <w:t>. Мы углубимся в востребованные направления и сферы, определим лучшие практики и механизмы развития культуры</w:t>
      </w:r>
      <w:r w:rsidR="00573CF7">
        <w:rPr>
          <w:rFonts w:ascii="Times New Roman" w:hAnsi="Times New Roman"/>
        </w:rPr>
        <w:t xml:space="preserve"> в арктических регионах, в том числе на примере</w:t>
      </w:r>
      <w:r>
        <w:rPr>
          <w:rFonts w:ascii="Times New Roman" w:hAnsi="Times New Roman"/>
        </w:rPr>
        <w:t xml:space="preserve"> Ямала. В этом году к нам присоединятся коллеги из других регионов страны: Москва, Архангельская и Ульяновская области, все субъекты УрФО», — сообщил директор департамента культуры Ямало-Ненецкого автономного округа Евгений Колтунов.</w:t>
      </w:r>
    </w:p>
    <w:p w14:paraId="661BEE04" w14:textId="52B0AE3C" w:rsidR="006B700C" w:rsidRDefault="004F669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 рамках форума участники обсудят вопросы развития культурно</w:t>
      </w:r>
      <w:r>
        <w:rPr>
          <w:rFonts w:ascii="Times New Roman" w:hAnsi="Times New Roman"/>
        </w:rPr>
        <w:t>-досуговых учреждений и создания на их основе центров притяжения населения, оценят перспективы продвижения ремесленного дела и обсудят точки роста креативной экономики. Кроме того, библиотекари изучат возможности цифровых технологий и их ресурсов для работы с посетителями.</w:t>
      </w:r>
    </w:p>
    <w:p w14:paraId="2CCAE8E1" w14:textId="72F06296" w:rsidR="00573CF7" w:rsidRDefault="004F6698" w:rsidP="00573C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Россия является председательствующей страной в Арктическом совете в период </w:t>
      </w:r>
      <w:r>
        <w:rPr>
          <w:rFonts w:ascii="Times New Roman" w:hAnsi="Times New Roman"/>
        </w:rPr>
        <w:t xml:space="preserve">2021–2023 гг. Комплексная программа председательства России в Арктическом совете направлена на продвижение сотрудничества для повышения благосостояния и качества жизни населения Арктики, включая коренные народы Севера, его адаптацию к последствиям изменения климата, сохранение арктического биоразнообразия и уникальных экосистем, обеспечение социально-экономического развития, поиск решений в области глобальной энергетической и транспортной безопасности, продвижение научного сотрудничества в высоких широтах и укрепление международного сотрудничества. </w:t>
      </w:r>
      <w:r w:rsidR="00573CF7">
        <w:rPr>
          <w:rFonts w:ascii="Times New Roman" w:hAnsi="Times New Roman"/>
        </w:rPr>
        <w:t xml:space="preserve">Оператор мероприятий председательства — Фонд Росконгресс. </w:t>
      </w:r>
    </w:p>
    <w:p w14:paraId="588705EA" w14:textId="77777777" w:rsidR="006B700C" w:rsidRDefault="006B700C">
      <w:pPr>
        <w:jc w:val="both"/>
        <w:rPr>
          <w:rFonts w:ascii="Times New Roman" w:eastAsia="Times New Roman" w:hAnsi="Times New Roman" w:cs="Times New Roman"/>
        </w:rPr>
      </w:pPr>
    </w:p>
    <w:p w14:paraId="4EFAC284" w14:textId="77777777" w:rsidR="006B700C" w:rsidRDefault="006B700C">
      <w:pPr>
        <w:jc w:val="both"/>
        <w:rPr>
          <w:rFonts w:ascii="Times New Roman" w:eastAsia="Times New Roman" w:hAnsi="Times New Roman" w:cs="Times New Roman"/>
        </w:rPr>
      </w:pPr>
    </w:p>
    <w:p w14:paraId="050519FF" w14:textId="77777777" w:rsidR="006B700C" w:rsidRDefault="004F6698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2FC30F86" w14:textId="77777777" w:rsidR="006B700C" w:rsidRDefault="004F6698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693750E2" w14:textId="77777777" w:rsidR="006B700C" w:rsidRPr="00CA78A6" w:rsidRDefault="004F6698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vk.com/arctic_on</w:t>
        </w:r>
      </w:hyperlink>
    </w:p>
    <w:p w14:paraId="0A26D9B4" w14:textId="77777777" w:rsidR="006B700C" w:rsidRDefault="004F6698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14:paraId="0F7A7B93" w14:textId="77777777" w:rsidR="006B700C" w:rsidRDefault="004F6698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t.me/arcticonofficial</w:t>
        </w:r>
      </w:hyperlink>
    </w:p>
    <w:p w14:paraId="68E37E2E" w14:textId="77777777" w:rsidR="006B700C" w:rsidRDefault="004F6698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14:paraId="7A6CAB5C" w14:textId="77777777" w:rsidR="006B700C" w:rsidRDefault="004F6698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</w:p>
    <w:p w14:paraId="35F6E3E8" w14:textId="77777777" w:rsidR="006B700C" w:rsidRDefault="006B700C">
      <w:pPr>
        <w:rPr>
          <w:rStyle w:val="a7"/>
          <w:rFonts w:ascii="Times New Roman" w:eastAsia="Times New Roman" w:hAnsi="Times New Roman" w:cs="Times New Roman"/>
        </w:rPr>
      </w:pPr>
    </w:p>
    <w:p w14:paraId="5B91FBF1" w14:textId="77777777" w:rsidR="006B700C" w:rsidRDefault="004F6698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0A7B4364" w14:textId="77777777" w:rsidR="006B700C" w:rsidRDefault="004F6698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35D509F4" w14:textId="77777777" w:rsidR="006B700C" w:rsidRDefault="004F6698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48EB9913" w14:textId="3DA29C75" w:rsidR="006B700C" w:rsidRDefault="004F6698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</w:t>
      </w:r>
      <w:r w:rsidR="005375FC">
        <w:rPr>
          <w:rStyle w:val="a7"/>
          <w:rFonts w:ascii="Times New Roman" w:hAnsi="Times New Roman"/>
          <w:sz w:val="20"/>
          <w:szCs w:val="20"/>
        </w:rPr>
        <w:t>73</w:t>
      </w:r>
      <w:r>
        <w:rPr>
          <w:rStyle w:val="a7"/>
          <w:rFonts w:ascii="Times New Roman" w:hAnsi="Times New Roman"/>
          <w:sz w:val="20"/>
          <w:szCs w:val="20"/>
        </w:rPr>
        <w:t xml:space="preserve"> внешнеэкономическими партнерами, объединениями промышленников и предпринимателей, финансовыми, торговыми и бизнес-ассоциациями в 78 странах мира, со 1</w:t>
      </w:r>
      <w:r w:rsidR="005375FC">
        <w:rPr>
          <w:rStyle w:val="a7"/>
          <w:rFonts w:ascii="Times New Roman" w:hAnsi="Times New Roman"/>
          <w:sz w:val="20"/>
          <w:szCs w:val="20"/>
        </w:rPr>
        <w:t>88</w:t>
      </w:r>
      <w:r>
        <w:rPr>
          <w:rStyle w:val="a7"/>
          <w:rFonts w:ascii="Times New Roman" w:hAnsi="Times New Roman"/>
          <w:sz w:val="20"/>
          <w:szCs w:val="20"/>
        </w:rPr>
        <w:t xml:space="preserve">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115C5A07" w14:textId="77777777" w:rsidR="006B700C" w:rsidRDefault="004F6698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lastRenderedPageBreak/>
        <w:t xml:space="preserve">Официальные телеграм-каналы Фонда Росконгресс: на русском языке – </w:t>
      </w:r>
      <w:r>
        <w:rPr>
          <w:rStyle w:val="Hyperlink2"/>
        </w:rPr>
        <w:t>t.me/Roscongress</w:t>
      </w:r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2"/>
        </w:rPr>
        <w:t>t.me/RoscongressDirect</w:t>
      </w:r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2"/>
        </w:rPr>
        <w:t>t.me/RoscongressEsp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1EF67624" w14:textId="77777777" w:rsidR="006B700C" w:rsidRDefault="004F6698">
      <w:pPr>
        <w:pStyle w:val="a8"/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0" w:history="1">
        <w:r>
          <w:rPr>
            <w:rStyle w:val="Hyperlink2"/>
          </w:rPr>
          <w:t>roscongress.org</w:t>
        </w:r>
      </w:hyperlink>
      <w:r>
        <w:rPr>
          <w:rStyle w:val="Hyperlink2"/>
        </w:rPr>
        <w:t>.</w:t>
      </w:r>
    </w:p>
    <w:sectPr w:rsidR="006B700C">
      <w:headerReference w:type="default" r:id="rId11"/>
      <w:footerReference w:type="default" r:id="rId12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F3C1" w14:textId="77777777" w:rsidR="002C5B73" w:rsidRDefault="002C5B73">
      <w:r>
        <w:separator/>
      </w:r>
    </w:p>
  </w:endnote>
  <w:endnote w:type="continuationSeparator" w:id="0">
    <w:p w14:paraId="4E3B4E4B" w14:textId="77777777" w:rsidR="002C5B73" w:rsidRDefault="002C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4272" w14:textId="77777777" w:rsidR="006B700C" w:rsidRDefault="006B700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D12F" w14:textId="77777777" w:rsidR="002C5B73" w:rsidRDefault="002C5B73">
      <w:r>
        <w:separator/>
      </w:r>
    </w:p>
  </w:footnote>
  <w:footnote w:type="continuationSeparator" w:id="0">
    <w:p w14:paraId="0B12B097" w14:textId="77777777" w:rsidR="002C5B73" w:rsidRDefault="002C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2A2C" w14:textId="77777777" w:rsidR="006B700C" w:rsidRDefault="004F6698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CFA93A" wp14:editId="559BE964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9557A91" wp14:editId="3F4BF354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00C"/>
    <w:rsid w:val="00134A15"/>
    <w:rsid w:val="002C5B73"/>
    <w:rsid w:val="004F6698"/>
    <w:rsid w:val="00515FCD"/>
    <w:rsid w:val="005375FC"/>
    <w:rsid w:val="00573CF7"/>
    <w:rsid w:val="006B700C"/>
    <w:rsid w:val="008F0F69"/>
    <w:rsid w:val="00C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B9D1"/>
  <w15:docId w15:val="{2703BD4B-DC26-49B1-A95C-FFE5E0C1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character" w:customStyle="1" w:styleId="Hyperlink2">
    <w:name w:val="Hyperlink.2"/>
    <w:rPr>
      <w:rFonts w:ascii="Times New Roman" w:hAnsi="Times New Roman"/>
      <w:outline w:val="0"/>
      <w:color w:val="0000FF"/>
      <w:sz w:val="20"/>
      <w:szCs w:val="20"/>
      <w:u w:val="single" w:color="0000FF"/>
      <w:lang w:val="ru-RU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573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CF7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Revision"/>
    <w:hidden/>
    <w:uiPriority w:val="99"/>
    <w:semiHidden/>
    <w:rsid w:val="00515F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oscongres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Русецкий Глеб Игоревич</dc:creator>
  <cp:lastModifiedBy>Евгений Лев</cp:lastModifiedBy>
  <cp:revision>4</cp:revision>
  <dcterms:created xsi:type="dcterms:W3CDTF">2023-02-03T11:09:00Z</dcterms:created>
  <dcterms:modified xsi:type="dcterms:W3CDTF">2023-02-07T05:37:00Z</dcterms:modified>
</cp:coreProperties>
</file>