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 ПМЭФ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оценили перспективы международного сотрудничества в Арктике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Реализацию совместных арктических проектов в различных сферах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 xml:space="preserve">а также поддержание многостороннего взаимодействия обсудили участники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сессии «Международное сотрудничество как залог устойчивого развития Арктики» проекта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Think Arctic,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который реализуется в рамках программы председательства России в Арктическом совете в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2023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гг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содействии Фонда Росконгресс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 Мероприятие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состоялось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на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XXV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Петербургском международном экономическом форуме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который проходит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15-18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июня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14:textOutline>
            <w14:noFill/>
          </w14:textOutline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Арктика становится глобальным фактором мировой политики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заявил п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осол по особым поручениям МИД России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 xml:space="preserve">председатель Комитета старших должностных лиц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Арктического совета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 xml:space="preserve"> Николай Корчуно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в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Причинами этого преобразования являются изменение климата и роль Арктики в этом процессе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появление новых транспортных маршрутов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а также возрастающее экономическое значение арктического региона на фоне энергетического перехода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Он сопровождается увеличением спроса на стратегические и критические материалы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которые есть в Арктике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«Я бы хотел использовать в качестве девиза нашего аналитического проекта «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>Think Arctic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 xml:space="preserve"> — </w:t>
      </w:r>
      <w:r>
        <w:rPr>
          <w:rFonts w:ascii="Times New Roman" w:hAnsi="Times New Roman"/>
          <w:rtl w:val="0"/>
          <w:lang w:val="en-US"/>
          <w14:textOutline>
            <w14:noFill/>
          </w14:textOutline>
        </w:rPr>
        <w:t>Think Global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»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— сказал он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«Мы приветствуем формирование широкого международного партнерства с участием уважаемых зарубежных коллег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в том числе неарктических государств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в интересах устойчивого развития арктического региона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Такого развития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который в себя гармонично включает три составляющих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экологическое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социальное и экономическое»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— добавил дипломат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этом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контексте функционирования Арктического совета в свете решения других стран объединения частично возобновить проектную деятельность организации без участия России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Николай Корчунов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выразил уверенность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сложившееся положение дел носит временный характер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«Мы надеемся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данный момент времени исходим из того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ситуация разрешится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 вернемся к полноформатному сотрудничеству»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— добавил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посол по особым поручениям МИД России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председатель Комитета старших должностных лиц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Арктического совета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Глубже России проблемы Арктики не понимает ни одна страна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заявил п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редседатель комитета Государственной Думы по экологии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природным ресурсам и охране окружающей среды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Дмитрий Кобылкин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«Арктика — это не коммунальная квартира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разъехаться не получится»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отметил он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Дмитрий Кобылкин подчеркнул важность учета мнения проживающих в Арктике людей при освоении этого региона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«Очень важно сохранить традиционный уклад хозяйствования коренных народов Арктики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учетом мудрости и знаний исконных жителей высоких широт необходимо формировать и все остальное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включая промышленность»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подчеркнул п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редседатель комитета Государственной Думы по экологии</w:t>
      </w:r>
      <w:r>
        <w:rPr>
          <w:rFonts w:ascii="Times New Roman" w:hAnsi="Times New Roman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>
            <w14:noFill/>
          </w14:textOutline>
        </w:rPr>
        <w:t>природным ресурсам и охране окружающей среды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Президент Союза китайских предпринимателей России Чжоу Лицюнь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говоря о перспективах и текущем положении дел в российско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китайском сотрудничестве в Арктике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отметил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особое значение Пекин придает Северному морскому пути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 является более быстрым и выгодным маршрутом доставки товаров из Азии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этом президент Союза китайских предпринимателей выразил уверенность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потенциал арктического региона предпочтительнее реализовывать в условиях международного сотрудничества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не соперничества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свою очередь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ице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адмирал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офицер ВМС Индии в отставке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ывший комендант Национальной академии обороны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(NDA)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главнокомандующий Южного и Восточного командований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Сатиш Сони предложил развитие сотрудничества в сфере морского судоходства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частности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акватории Северного морского пути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фоне изменения климата и высвобождения от льда новых территорий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пригодных для сельского хозяйства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 отметил большой опыт индийской стороны в этой сфере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Другими областями потенциального сотрудничества Москвы и Нью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Дели в Арктике являются борьба с выбросами диоксида углерода и строительство дорог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 словам исполнительного директора Арктического экономического совета Мадса Фредериксена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которая представляет компании из арктического региона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свой интерес к сотрудничеству в Арктике выражают партнеры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том числе из Франции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Швейцарии и Греции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 также пригласил к взаимодействию компании Индии и Китая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14:textOutline>
            <w14:noFill/>
          </w14:textOutline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«Арктический регион очень велик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большой его частью является Россия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что сотрудничество нужно продолжать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все испытываем одни и те же трудности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изменение климата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вопрос наличия рабочих мест для проживающих там людей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Многие компании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такие как «Новатэк»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продолжают работать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них зависит большое количество рабочих мест в регионе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сложности есть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нельзя прекращать работу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касается и компаний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сотрудничества в Арктике»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сказал Фредериксен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Times New Roman" w:cs="Times New Roman" w:hAnsi="Times New Roman" w:eastAsia="Times New Roman"/>
          <w14:textOutline>
            <w14:noFill/>
          </w14:textOutline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Сессия «Международное сотрудничество как залог устойчивого развития Арктики»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стала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четвертым мероприятием проекта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Think Arctic.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Он реализуется совместно Фондом Росконгресс и Центром комплексных европейских и международных исследований НИУ ВШЭ в рамках программы председательства России в Арктическом совете в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гг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мероприятие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числе прочих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приняли участие д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иректор Арктическ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ого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антарктическ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ого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научно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исследовательск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ого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институт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Александр Макаров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профессор Университета Осло Алла Позднякова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рофессор Университета Юго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Восточной Норвегии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Гленн Дизен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остдокторант Факультета мировой экономики и мировой политики НИУ ВШЭ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Капур Ниведита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ывший Чрезвычайный и Полномочный Посол Республики Индия в Российской Федерации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Д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Венкатеш Варма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Комплексная программа председательства России в Арктическом совете направлена на продвижение сотрудничества для повышения благосостояния и качества жизни населения Арктики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включая коренные народы Севера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его адаптации к последствиям изменения климата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сохранения арктического биоразнообразия и уникальных экосистем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обеспечения социально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экономического развития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поиска решений в области глобальной энергетической и транспортной безопасности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продвижения научного сотрудничества в высоких широтах и укреплению </w:t>
      </w:r>
      <w:r>
        <w:rPr>
          <w:rFonts w:ascii="Times New Roman" w:hAnsi="Times New Roman" w:hint="default"/>
          <w:rtl w:val="0"/>
          <w:lang w:val="ru-RU"/>
        </w:rPr>
        <w:t>арктического сотрудничеств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ru-RU"/>
        </w:rPr>
        <w:t>Справочная информация</w:t>
      </w: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ru-RU"/>
        </w:rPr>
        <w:t>:</w:t>
      </w:r>
    </w:p>
    <w:p>
      <w:pPr>
        <w:pStyle w:val="Normal (Web)"/>
        <w:shd w:val="clear" w:color="auto" w:fill="ffffff"/>
        <w:spacing w:after="0"/>
        <w:jc w:val="both"/>
        <w:rPr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Официальные аккаунты председательства России в Арктическом совете</w:t>
      </w: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Normal (Web)"/>
        <w:shd w:val="clear" w:color="auto" w:fill="ffffff"/>
        <w:spacing w:before="0" w:after="0"/>
        <w:jc w:val="both"/>
        <w:rPr>
          <w:rStyle w:val="Нет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ВКонтакте</w:t>
      </w:r>
      <w:r>
        <w:rPr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: </w: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"https://vk.com/arctic_on"</w:instrTex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vk.com/arctic_on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0" w:after="0"/>
        <w:jc w:val="both"/>
        <w:rPr>
          <w:rStyle w:val="Нет"/>
          <w:outline w:val="0"/>
          <w:color w:val="222222"/>
          <w:sz w:val="20"/>
          <w:szCs w:val="20"/>
          <w:u w:color="222222"/>
          <w:lang w:val="en-US"/>
          <w14:textFill>
            <w14:solidFill>
              <w14:srgbClr w14:val="222222"/>
            </w14:solidFill>
          </w14:textFill>
        </w:rPr>
      </w:pP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Twitter: </w: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"https://twitter.com/ArcticON1"</w:instrTex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twitter.com/ArcticON1</w:t>
      </w:r>
      <w:r>
        <w:rPr>
          <w:lang w:val="en-US"/>
        </w:rPr>
        <w:fldChar w:fldCharType="end" w:fldLock="0"/>
      </w:r>
    </w:p>
    <w:p>
      <w:pPr>
        <w:pStyle w:val="Normal (Web)"/>
        <w:shd w:val="clear" w:color="auto" w:fill="ffffff"/>
        <w:spacing w:before="0" w:after="0"/>
        <w:jc w:val="both"/>
        <w:rPr>
          <w:rStyle w:val="Нет"/>
          <w:outline w:val="0"/>
          <w:color w:val="222222"/>
          <w:sz w:val="20"/>
          <w:szCs w:val="20"/>
          <w:u w:color="222222"/>
          <w:lang w:val="en-US"/>
          <w14:textFill>
            <w14:solidFill>
              <w14:srgbClr w14:val="222222"/>
            </w14:solidFill>
          </w14:textFill>
        </w:rPr>
      </w:pP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Telegram: </w: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"https://t.me/arcticonofficial"</w:instrText>
      </w:r>
      <w:r>
        <w:rPr>
          <w:rStyle w:val="Hyperlink.0"/>
          <w:outline w:val="0"/>
          <w:color w:val="0563c1"/>
          <w:sz w:val="20"/>
          <w:szCs w:val="20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t.me/arcticonofficial</w:t>
      </w:r>
      <w:r>
        <w:rPr>
          <w:lang w:val="en-US"/>
        </w:rPr>
        <w:fldChar w:fldCharType="end" w:fldLock="0"/>
      </w:r>
    </w:p>
    <w:p>
      <w:pPr>
        <w:pStyle w:val="Normal (Web)"/>
        <w:shd w:val="clear" w:color="auto" w:fill="ffffff"/>
        <w:spacing w:before="0" w:after="0"/>
        <w:jc w:val="both"/>
        <w:rPr>
          <w:rStyle w:val="Нет"/>
          <w:outline w:val="0"/>
          <w:color w:val="222222"/>
          <w:sz w:val="20"/>
          <w:szCs w:val="20"/>
          <w:u w:color="222222"/>
          <w:lang w:val="en-US"/>
          <w14:textFill>
            <w14:solidFill>
              <w14:srgbClr w14:val="222222"/>
            </w14:solidFill>
          </w14:textFill>
        </w:rPr>
      </w:pP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Weibo:</w:t>
      </w: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"https://weibo.com/u/7728847725"</w:instrText>
      </w:r>
      <w:r>
        <w:rPr>
          <w:rStyle w:val="Hyperlink.1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outline w:val="0"/>
          <w:color w:val="1155cc"/>
          <w:sz w:val="20"/>
          <w:szCs w:val="20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weibo.com/u/7728847725</w:t>
      </w:r>
      <w:r>
        <w:rPr>
          <w:lang w:val="en-US"/>
        </w:rPr>
        <w:fldChar w:fldCharType="end" w:fldLock="0"/>
      </w:r>
    </w:p>
    <w:p>
      <w:pPr>
        <w:pStyle w:val="Normal (Web)"/>
        <w:shd w:val="clear" w:color="auto" w:fill="ffffff"/>
        <w:spacing w:before="0" w:after="0"/>
        <w:jc w:val="both"/>
        <w:rPr>
          <w:rStyle w:val="Нет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WeChat</w:t>
      </w: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ID</w:t>
      </w: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: </w:t>
      </w:r>
      <w:r>
        <w:rPr>
          <w:rStyle w:val="Нет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arcticonofficial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ind w:firstLine="426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bookmarkStart w:name="_Hlk37175453" w:id="0"/>
      <w:r>
        <w:rPr>
          <w:rStyle w:val="Нет"/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Ф</w:t>
      </w:r>
      <w:bookmarkEnd w:id="0"/>
      <w:bookmarkStart w:name="_Hlk37145538" w:id="1"/>
      <w:r>
        <w:rPr>
          <w:rStyle w:val="Нет"/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онд Росконгресс –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социально ориентированный нефинансовый институт развития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крупнейший организатор общероссийских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международных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конгрессных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выставочных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деловых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общественных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молодежных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спортивных мероприятий и событий в области культуры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создан</w:t>
      </w:r>
      <w:r>
        <w:rPr>
          <w:rStyle w:val="Нет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 соответствии с решением Президента Российской Федерации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ind w:firstLine="426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Фонд учрежден в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2007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году с целью содействия развитию экономического потенциала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продвижения национальных интересов и укрепления имиджа России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Фонд всесторонне изучает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анализирует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формирует и освещает вопросы российской и глобальной экономической повестки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Обеспечивает администрирование и содействует продвижению бизнес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проектов и привлечению инвестиций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способствует развитию социального предпринимательства и благотворительных проектов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 </w:t>
      </w:r>
    </w:p>
    <w:p>
      <w:pPr>
        <w:pStyle w:val="Normal.0"/>
        <w:ind w:firstLine="425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Мероприятия Фонда собирают участников из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208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стран и территорий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более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тысяч представителей СМИ ежегодно работают на площадках Росконгресса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в аналитическую и экспертную работу вовлечены более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5000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экспертов в России и за рубежом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ind w:firstLine="425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Фонд взаимодействует со структурами ООН и другими международными организациями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Развивает многоформатное сотрудничество со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166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внешнеэкономическими партнерами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объединениями промышленников и предпринимателей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финансовыми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торговыми и бизнес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ассоциациями в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76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странах мира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со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154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российскими общественными организациями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федеральными органами исполнительной и законодательной власти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субъектами Российской Федерации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Plain Text"/>
        <w:ind w:firstLine="426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Официальные телеграм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каналы Фонда Росконгресс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на русском языке – </w:t>
      </w:r>
      <w:r>
        <w:rPr>
          <w:rStyle w:val="Нет"/>
          <w:rFonts w:ascii="Times New Roman" w:hAnsi="Times New Roman"/>
          <w:outline w:val="0"/>
          <w:color w:val="0563c1"/>
          <w:sz w:val="20"/>
          <w:szCs w:val="20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t.me/Roscongress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на английском языке – </w:t>
      </w:r>
      <w:r>
        <w:rPr>
          <w:rStyle w:val="Нет"/>
          <w:rFonts w:ascii="Times New Roman" w:hAnsi="Times New Roman"/>
          <w:outline w:val="0"/>
          <w:color w:val="0563c1"/>
          <w:sz w:val="20"/>
          <w:szCs w:val="20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t.me/RoscongressDirect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на испанском языке – </w:t>
      </w:r>
      <w:r>
        <w:rPr>
          <w:rStyle w:val="Нет"/>
          <w:rFonts w:ascii="Times New Roman" w:hAnsi="Times New Roman"/>
          <w:outline w:val="0"/>
          <w:color w:val="0563c1"/>
          <w:sz w:val="20"/>
          <w:szCs w:val="20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t.me/RoscongressEsp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ind w:firstLine="426"/>
        <w:jc w:val="both"/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Официальный сайт и Информационно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аналитическая система Фонда Росконгресс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bookmarkEnd w:id="1"/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"http://roscongress.org"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roscongress.org</w:t>
      </w:r>
      <w:r>
        <w:rPr/>
        <w:fldChar w:fldCharType="end" w:fldLock="0"/>
      </w:r>
      <w:r>
        <w:rPr>
          <w:rStyle w:val="Hyperlink.2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985" w:right="851" w:bottom="1134" w:left="851" w:header="284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536573</wp:posOffset>
          </wp:positionH>
          <wp:positionV relativeFrom="page">
            <wp:posOffset>46069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563c1"/>
      <w:sz w:val="20"/>
      <w:szCs w:val="20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1155cc"/>
      <w:sz w:val="20"/>
      <w:szCs w:val="20"/>
      <w:u w:val="single" w:color="1155cc"/>
      <w:lang w:val="en-US"/>
      <w14:textFill>
        <w14:solidFill>
          <w14:srgbClr w14:val="1155CC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